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B1" w:rsidRPr="00A53CD9" w:rsidRDefault="00A53CD9" w:rsidP="002E50F6">
      <w:pPr>
        <w:rPr>
          <w:b/>
          <w:bCs/>
          <w:szCs w:val="22"/>
          <w:u w:val="single"/>
        </w:rPr>
      </w:pPr>
      <w:bookmarkStart w:id="0" w:name="_GoBack"/>
      <w:bookmarkEnd w:id="0"/>
      <w:r w:rsidRPr="00A53CD9">
        <w:rPr>
          <w:b/>
          <w:bCs/>
          <w:szCs w:val="22"/>
          <w:u w:val="single"/>
        </w:rPr>
        <w:t>RKP:</w:t>
      </w:r>
      <w:r>
        <w:rPr>
          <w:b/>
          <w:bCs/>
          <w:szCs w:val="22"/>
          <w:u w:val="single"/>
        </w:rPr>
        <w:t xml:space="preserve"> </w:t>
      </w:r>
      <w:r w:rsidR="00F52063">
        <w:rPr>
          <w:b/>
          <w:bCs/>
          <w:szCs w:val="22"/>
          <w:u w:val="single"/>
        </w:rPr>
        <w:t>3236</w:t>
      </w:r>
    </w:p>
    <w:p w:rsidR="00A53CD9" w:rsidRPr="00A53CD9" w:rsidRDefault="00A53CD9" w:rsidP="002E50F6">
      <w:pPr>
        <w:rPr>
          <w:b/>
          <w:bCs/>
          <w:szCs w:val="22"/>
          <w:u w:val="single"/>
        </w:rPr>
      </w:pPr>
      <w:r w:rsidRPr="00A53CD9">
        <w:rPr>
          <w:b/>
          <w:bCs/>
          <w:szCs w:val="22"/>
          <w:u w:val="single"/>
        </w:rPr>
        <w:t xml:space="preserve">KAZNENO TIJELO: </w:t>
      </w:r>
      <w:r w:rsidR="00F52063">
        <w:rPr>
          <w:b/>
          <w:bCs/>
          <w:szCs w:val="22"/>
          <w:u w:val="single"/>
        </w:rPr>
        <w:t xml:space="preserve">  </w:t>
      </w:r>
      <w:r>
        <w:rPr>
          <w:b/>
          <w:bCs/>
          <w:szCs w:val="22"/>
          <w:u w:val="single"/>
        </w:rPr>
        <w:t xml:space="preserve">   </w:t>
      </w:r>
      <w:r w:rsidR="00F52063">
        <w:rPr>
          <w:b/>
          <w:bCs/>
          <w:szCs w:val="22"/>
          <w:u w:val="single"/>
        </w:rPr>
        <w:t>ZATVOR U GOSPIĆU</w:t>
      </w:r>
    </w:p>
    <w:p w:rsidR="003226B1" w:rsidRDefault="003226B1" w:rsidP="002E50F6"/>
    <w:p w:rsidR="00394E18" w:rsidRPr="00DA0F97" w:rsidRDefault="00394E18" w:rsidP="00DA0F97">
      <w:pPr>
        <w:jc w:val="center"/>
        <w:rPr>
          <w:b/>
          <w:bCs/>
          <w:sz w:val="24"/>
          <w:szCs w:val="24"/>
          <w:u w:val="single"/>
        </w:rPr>
      </w:pPr>
      <w:r w:rsidRPr="00394E18">
        <w:rPr>
          <w:b/>
          <w:bCs/>
          <w:sz w:val="24"/>
          <w:szCs w:val="24"/>
          <w:u w:val="single"/>
        </w:rPr>
        <w:t>Obrazloženje posebnog dijela financijskog plana 2023. – 2025.</w:t>
      </w:r>
    </w:p>
    <w:p w:rsidR="002E50F6" w:rsidRDefault="002E50F6" w:rsidP="002E50F6"/>
    <w:tbl>
      <w:tblPr>
        <w:tblStyle w:val="StilTablice"/>
        <w:tblW w:w="9394" w:type="dxa"/>
        <w:jc w:val="center"/>
        <w:tblLook w:val="04A0" w:firstRow="1" w:lastRow="0" w:firstColumn="1" w:lastColumn="0" w:noHBand="0" w:noVBand="1"/>
      </w:tblPr>
      <w:tblGrid>
        <w:gridCol w:w="1286"/>
        <w:gridCol w:w="1398"/>
        <w:gridCol w:w="1435"/>
        <w:gridCol w:w="1435"/>
        <w:gridCol w:w="1435"/>
        <w:gridCol w:w="1435"/>
        <w:gridCol w:w="970"/>
      </w:tblGrid>
      <w:tr w:rsidR="006C25A2" w:rsidTr="006C25A2">
        <w:trPr>
          <w:cantSplit/>
          <w:trHeight w:val="7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:rsidR="006C25A2" w:rsidRDefault="00394E18" w:rsidP="006C25A2">
            <w:pPr>
              <w:pStyle w:val="CellHeader"/>
              <w:jc w:val="center"/>
              <w:rPr>
                <w:lang w:eastAsia="en-US"/>
              </w:rPr>
            </w:pPr>
            <w:bookmarkStart w:id="1" w:name="_Hlk115092660"/>
            <w:r>
              <w:rPr>
                <w:lang w:eastAsia="en-US"/>
              </w:rPr>
              <w:t>RKP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Izvršenje 2021.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2022.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2024.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Indeks 2023/2022</w:t>
            </w:r>
          </w:p>
        </w:tc>
      </w:tr>
      <w:bookmarkEnd w:id="1"/>
      <w:tr w:rsidR="006C25A2" w:rsidTr="006C25A2">
        <w:trPr>
          <w:cantSplit/>
          <w:trHeight w:val="44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2" w:rsidRDefault="00F52063" w:rsidP="006C25A2">
            <w:pPr>
              <w:pStyle w:val="CellColumn"/>
              <w:jc w:val="left"/>
              <w:rPr>
                <w:lang w:eastAsia="en-US"/>
              </w:rPr>
            </w:pPr>
            <w:r>
              <w:rPr>
                <w:lang w:eastAsia="en-US"/>
              </w:rPr>
              <w:t>3236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3" w:rsidRPr="00F52063" w:rsidRDefault="00F52063" w:rsidP="00F52063">
            <w:pPr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2.669.018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2" w:rsidRDefault="00F52063" w:rsidP="0038255D">
            <w:pPr>
              <w:jc w:val="center"/>
            </w:pPr>
            <w:r>
              <w:rPr>
                <w:i/>
                <w:iCs/>
                <w:color w:val="0070C0"/>
              </w:rPr>
              <w:t>2.777.979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2" w:rsidRDefault="00F52063" w:rsidP="0038255D">
            <w:pPr>
              <w:jc w:val="center"/>
            </w:pPr>
            <w:r>
              <w:rPr>
                <w:i/>
                <w:iCs/>
                <w:color w:val="0070C0"/>
              </w:rPr>
              <w:t>3.176.824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2" w:rsidRDefault="00F52063" w:rsidP="0038255D">
            <w:pPr>
              <w:jc w:val="center"/>
            </w:pPr>
            <w:r>
              <w:rPr>
                <w:i/>
                <w:iCs/>
                <w:color w:val="0070C0"/>
              </w:rPr>
              <w:t>3.124.626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2" w:rsidRDefault="00F52063" w:rsidP="0038255D">
            <w:pPr>
              <w:jc w:val="center"/>
            </w:pPr>
            <w:r>
              <w:rPr>
                <w:i/>
                <w:iCs/>
                <w:color w:val="0070C0"/>
              </w:rPr>
              <w:t>3.123.060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2" w:rsidRDefault="00F52063" w:rsidP="0038255D">
            <w:pPr>
              <w:jc w:val="center"/>
            </w:pPr>
            <w:r>
              <w:t>1,14</w:t>
            </w:r>
          </w:p>
        </w:tc>
      </w:tr>
    </w:tbl>
    <w:p w:rsidR="002E50F6" w:rsidRDefault="002E50F6" w:rsidP="002E50F6">
      <w:pPr>
        <w:jc w:val="left"/>
      </w:pPr>
    </w:p>
    <w:p w:rsidR="00BC5E29" w:rsidRPr="00D26D23" w:rsidRDefault="00BC5E29" w:rsidP="00BC5E29">
      <w:pPr>
        <w:jc w:val="left"/>
        <w:rPr>
          <w:b/>
          <w:bCs/>
          <w:szCs w:val="22"/>
        </w:rPr>
      </w:pPr>
      <w:r w:rsidRPr="00D26D23">
        <w:rPr>
          <w:b/>
          <w:bCs/>
          <w:szCs w:val="22"/>
        </w:rPr>
        <w:t>A630000 IZVRŠAVANJE KAZNE ZATVORA, MJERE PRITVORA I ODGOJNE MJERE</w:t>
      </w:r>
    </w:p>
    <w:p w:rsidR="001312EA" w:rsidRDefault="001312EA" w:rsidP="002E50F6"/>
    <w:tbl>
      <w:tblPr>
        <w:tblStyle w:val="StilTablice"/>
        <w:tblW w:w="8824" w:type="dxa"/>
        <w:jc w:val="center"/>
        <w:tblLook w:val="04A0" w:firstRow="1" w:lastRow="0" w:firstColumn="1" w:lastColumn="0" w:noHBand="0" w:noVBand="1"/>
      </w:tblPr>
      <w:tblGrid>
        <w:gridCol w:w="1233"/>
        <w:gridCol w:w="1299"/>
        <w:gridCol w:w="1293"/>
        <w:gridCol w:w="1343"/>
        <w:gridCol w:w="1343"/>
        <w:gridCol w:w="1343"/>
        <w:gridCol w:w="970"/>
      </w:tblGrid>
      <w:tr w:rsidR="006C25A2" w:rsidTr="00371C65">
        <w:trPr>
          <w:cantSplit/>
          <w:trHeight w:val="88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bookmarkStart w:id="2" w:name="_Hlk115095713"/>
            <w:r>
              <w:rPr>
                <w:rFonts w:cs="Times New Roman"/>
                <w:lang w:eastAsia="en-US"/>
              </w:rPr>
              <w:t>Naziv aktivnosti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Izvršenje 2021.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2022.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2023.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2024.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Indeks 2023/2022</w:t>
            </w:r>
          </w:p>
        </w:tc>
      </w:tr>
      <w:bookmarkEnd w:id="2"/>
      <w:tr w:rsidR="0038255D" w:rsidTr="00724969">
        <w:trPr>
          <w:cantSplit/>
          <w:trHeight w:val="47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38255D" w:rsidRDefault="0038255D" w:rsidP="0038255D">
            <w:pPr>
              <w:pStyle w:val="CellColumn"/>
              <w:jc w:val="left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A630000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38255D" w:rsidRPr="0038255D" w:rsidRDefault="00F52063" w:rsidP="0038255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color w:val="0070C0"/>
              </w:rPr>
              <w:t>2.607.962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5D" w:rsidRDefault="00F52063" w:rsidP="0038255D">
            <w:pPr>
              <w:jc w:val="center"/>
            </w:pPr>
            <w:r>
              <w:rPr>
                <w:i/>
                <w:iCs/>
                <w:color w:val="0070C0"/>
              </w:rPr>
              <w:t>2.678.091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5D" w:rsidRDefault="00371C65" w:rsidP="0038255D">
            <w:pPr>
              <w:jc w:val="center"/>
            </w:pPr>
            <w:r>
              <w:rPr>
                <w:i/>
                <w:iCs/>
                <w:color w:val="0070C0"/>
              </w:rPr>
              <w:t>3.</w:t>
            </w:r>
            <w:r w:rsidR="002E617E">
              <w:rPr>
                <w:i/>
                <w:iCs/>
                <w:color w:val="0070C0"/>
              </w:rPr>
              <w:t>032.991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38255D" w:rsidRPr="002E617E" w:rsidRDefault="002E617E" w:rsidP="0038255D">
            <w:pPr>
              <w:jc w:val="center"/>
              <w:rPr>
                <w:i/>
                <w:color w:val="4472C4" w:themeColor="accent1"/>
              </w:rPr>
            </w:pPr>
            <w:r>
              <w:rPr>
                <w:i/>
                <w:color w:val="4472C4" w:themeColor="accent1"/>
              </w:rPr>
              <w:t>2.994,558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38255D" w:rsidRDefault="002E617E" w:rsidP="0038255D">
            <w:pPr>
              <w:jc w:val="center"/>
            </w:pPr>
            <w:r>
              <w:rPr>
                <w:i/>
                <w:iCs/>
                <w:color w:val="0070C0"/>
              </w:rPr>
              <w:t>2.998.300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5D" w:rsidRDefault="00371C65" w:rsidP="002E617E">
            <w:pPr>
              <w:jc w:val="right"/>
            </w:pPr>
            <w:r>
              <w:t>1,1</w:t>
            </w:r>
            <w:r w:rsidR="002E617E">
              <w:t>3</w:t>
            </w:r>
          </w:p>
        </w:tc>
      </w:tr>
    </w:tbl>
    <w:p w:rsidR="002E50F6" w:rsidRDefault="002E50F6" w:rsidP="002E50F6">
      <w:pPr>
        <w:jc w:val="left"/>
      </w:pPr>
    </w:p>
    <w:p w:rsidR="001312EA" w:rsidRDefault="002E50F6" w:rsidP="002E50F6">
      <w:r>
        <w:t xml:space="preserve">Ovom aktivnošću se osiguravaju sredstva za redovno funkcioniranje </w:t>
      </w:r>
      <w:r w:rsidR="001312EA">
        <w:t>kaznenog tijela</w:t>
      </w:r>
      <w:r>
        <w:t xml:space="preserve"> (rashodi za zaposlene i materijalni rashodi). </w:t>
      </w:r>
    </w:p>
    <w:p w:rsidR="00B95D6D" w:rsidRPr="00DC469D" w:rsidRDefault="00F72D79" w:rsidP="00DC469D">
      <w:pPr>
        <w:rPr>
          <w:i/>
          <w:iCs/>
        </w:rPr>
      </w:pPr>
      <w:r w:rsidRPr="00F52063">
        <w:t>U 202</w:t>
      </w:r>
      <w:r w:rsidR="00D26D23" w:rsidRPr="00F52063">
        <w:t>3</w:t>
      </w:r>
      <w:r w:rsidRPr="00F52063">
        <w:t>. su planirana sredstva za rashode</w:t>
      </w:r>
      <w:r w:rsidR="009A0FF6" w:rsidRPr="00F52063">
        <w:t xml:space="preserve"> za zaposlene u iznosu od </w:t>
      </w:r>
      <w:r w:rsidR="00F52063">
        <w:t>2.319.882</w:t>
      </w:r>
      <w:r w:rsidR="009A0FF6" w:rsidRPr="00F52063">
        <w:t xml:space="preserve"> eur</w:t>
      </w:r>
      <w:r w:rsidR="00E50C10" w:rsidRPr="00F52063">
        <w:t xml:space="preserve"> za</w:t>
      </w:r>
      <w:r w:rsidR="00F52063">
        <w:t xml:space="preserve"> 100 zaposlenih</w:t>
      </w:r>
      <w:r w:rsidR="00DC469D">
        <w:t>. Bruto plaće i doprinosi na plaće planirani su na temelju isplaćenih plaća u 2022. uzevši u obzir rast osnovice, broj zaposlenih 100, povećanje od 0,5% po godini staža. Ostali rashodi za zaposlene regres i božićnica planirani su također na osnovi 100 zaposlenih, otpremnine za 2 djelatnika po posebnim uvjetima, jubilarne nagrade za 10 djelatnika, dar za sv. Nikolu na bazi 75- djece,  te pomoći za bolovanje, rođenje i smrt člana obitelji prema uočenoj dinamici isplata</w:t>
      </w:r>
      <w:bookmarkStart w:id="3" w:name="_Hlk123126385"/>
      <w:r w:rsidR="00DC469D">
        <w:t>.</w:t>
      </w:r>
      <w:r w:rsidR="00F34E0B" w:rsidRPr="00DC469D">
        <w:rPr>
          <w:i/>
          <w:iCs/>
        </w:rPr>
        <w:t xml:space="preserve"> </w:t>
      </w:r>
    </w:p>
    <w:bookmarkEnd w:id="3"/>
    <w:p w:rsidR="00DC469D" w:rsidRDefault="00605E25" w:rsidP="002E50F6">
      <w:pPr>
        <w:rPr>
          <w:color w:val="4472C4" w:themeColor="accent1"/>
        </w:rPr>
      </w:pPr>
      <w:r w:rsidRPr="00605E25">
        <w:rPr>
          <w:color w:val="000000" w:themeColor="text1"/>
        </w:rPr>
        <w:t xml:space="preserve">Materijalni i financijski rashodi planiraju se u iznosu od </w:t>
      </w:r>
      <w:r w:rsidR="002E617E">
        <w:rPr>
          <w:i/>
          <w:iCs/>
        </w:rPr>
        <w:t>686.563</w:t>
      </w:r>
      <w:r w:rsidR="00DC469D" w:rsidRPr="00DC469D">
        <w:rPr>
          <w:i/>
          <w:iCs/>
        </w:rPr>
        <w:t xml:space="preserve"> </w:t>
      </w:r>
      <w:r w:rsidRPr="00605E25">
        <w:rPr>
          <w:color w:val="000000" w:themeColor="text1"/>
        </w:rPr>
        <w:t>eur</w:t>
      </w:r>
      <w:r w:rsidRPr="00605E25">
        <w:rPr>
          <w:color w:val="4472C4" w:themeColor="accent1"/>
        </w:rPr>
        <w:t xml:space="preserve">. </w:t>
      </w:r>
    </w:p>
    <w:p w:rsidR="008F6735" w:rsidRPr="008F6735" w:rsidRDefault="008F6735" w:rsidP="008F6735">
      <w:pPr>
        <w:spacing w:after="0"/>
      </w:pPr>
      <w:r w:rsidRPr="008F6735">
        <w:t>Sredstva su namjenjena za pokriće troškova redovnog funkcioniranja a planirana su temelju stvarnih potreba i očekivanih makroekonomskih kretanja, okvirnog broja od 140 zatvorenika/pritvorenika.</w:t>
      </w:r>
    </w:p>
    <w:p w:rsidR="008F6735" w:rsidRPr="008F6735" w:rsidRDefault="008F6735" w:rsidP="008F6735">
      <w:pPr>
        <w:spacing w:after="0"/>
      </w:pPr>
      <w:r w:rsidRPr="008F6735">
        <w:t>Na poziciji 3212 planiran je naknada za prijevoz na posao i s posla u visini 0,18 eur/km</w:t>
      </w:r>
    </w:p>
    <w:p w:rsidR="00371C65" w:rsidRDefault="008F6735" w:rsidP="008F6735">
      <w:pPr>
        <w:spacing w:after="0"/>
      </w:pPr>
      <w:r w:rsidRPr="008F6735">
        <w:t>Na poziciji 3236 planirana su sredstva za liječničke preglede zaposlenih (temeljem KU) u iznosu 15.926,74 eur</w:t>
      </w:r>
      <w:r>
        <w:t>.</w:t>
      </w:r>
    </w:p>
    <w:p w:rsidR="00371C65" w:rsidRDefault="00371C65" w:rsidP="008F6735">
      <w:pPr>
        <w:spacing w:after="0"/>
      </w:pPr>
    </w:p>
    <w:p w:rsidR="008F6735" w:rsidRPr="008F6735" w:rsidRDefault="008F6735" w:rsidP="008F6735">
      <w:pPr>
        <w:spacing w:after="0"/>
      </w:pPr>
      <w:r>
        <w:t xml:space="preserve"> Planirani finacijski rashodi odnose se na očekivane troškove bankarskih naknada i kamata</w:t>
      </w:r>
    </w:p>
    <w:p w:rsidR="008F6735" w:rsidRDefault="008F6735" w:rsidP="002E50F6"/>
    <w:p w:rsidR="002E4C98" w:rsidRDefault="00D26D23" w:rsidP="002E50F6">
      <w:pPr>
        <w:rPr>
          <w:i/>
          <w:iCs/>
          <w:color w:val="4472C4" w:themeColor="accent1"/>
        </w:rPr>
      </w:pPr>
      <w:r w:rsidRPr="00D26D23">
        <w:t xml:space="preserve">Rashodi za nabavu nefinancijske imovine su planirani u iznosu </w:t>
      </w:r>
      <w:r w:rsidRPr="008F6735">
        <w:t>od</w:t>
      </w:r>
      <w:r w:rsidRPr="008F6735">
        <w:rPr>
          <w:i/>
          <w:iCs/>
        </w:rPr>
        <w:t xml:space="preserve"> </w:t>
      </w:r>
      <w:r w:rsidR="002E4C98">
        <w:rPr>
          <w:i/>
          <w:iCs/>
        </w:rPr>
        <w:t xml:space="preserve">26.546 </w:t>
      </w:r>
      <w:r w:rsidRPr="008F6735">
        <w:rPr>
          <w:i/>
          <w:iCs/>
        </w:rPr>
        <w:t xml:space="preserve"> </w:t>
      </w:r>
      <w:r w:rsidRPr="00D26D23">
        <w:t>eur</w:t>
      </w:r>
      <w:r>
        <w:rPr>
          <w:i/>
          <w:iCs/>
          <w:color w:val="4472C4" w:themeColor="accent1"/>
        </w:rPr>
        <w:t>.</w:t>
      </w:r>
    </w:p>
    <w:p w:rsidR="00D26D23" w:rsidRPr="002E4C98" w:rsidRDefault="002E4C98" w:rsidP="002E50F6">
      <w:pPr>
        <w:rPr>
          <w:iCs/>
        </w:rPr>
      </w:pPr>
      <w:r w:rsidRPr="002E4C98">
        <w:rPr>
          <w:iCs/>
        </w:rPr>
        <w:t>Planiranim sredstvima je predviđena minimalna nabava uredskog namještaja (stolovi, stolice), komunikacijske opreme</w:t>
      </w:r>
      <w:r w:rsidR="00D26D23" w:rsidRPr="002E4C98">
        <w:rPr>
          <w:iCs/>
        </w:rPr>
        <w:t xml:space="preserve"> </w:t>
      </w:r>
      <w:r w:rsidRPr="002E4C98">
        <w:rPr>
          <w:iCs/>
        </w:rPr>
        <w:t xml:space="preserve">(tv uređaji, telefoni) oprema za održavanje i zaštitu (klima uređaji) instrumenti uređaji i strojevi (rashladni uređaj, kiper, friteza)  </w:t>
      </w:r>
      <w:r w:rsidR="00D26D23" w:rsidRPr="002E4C98">
        <w:rPr>
          <w:iCs/>
        </w:rPr>
        <w:t>.</w:t>
      </w:r>
    </w:p>
    <w:p w:rsidR="002E4C98" w:rsidRDefault="002E4C98" w:rsidP="002E50F6">
      <w:pPr>
        <w:rPr>
          <w:i/>
          <w:iCs/>
          <w:color w:val="4472C4" w:themeColor="accent1"/>
        </w:rPr>
      </w:pPr>
    </w:p>
    <w:p w:rsidR="002E4C98" w:rsidRPr="00DC469D" w:rsidRDefault="002E4C98" w:rsidP="0019787F">
      <w:pPr>
        <w:jc w:val="left"/>
        <w:rPr>
          <w:i/>
          <w:iCs/>
        </w:rPr>
      </w:pPr>
      <w:r w:rsidRPr="00F52063">
        <w:t>U</w:t>
      </w:r>
      <w:r>
        <w:t xml:space="preserve"> projekcijama za 2024</w:t>
      </w:r>
      <w:r w:rsidRPr="00F52063">
        <w:t xml:space="preserve">. su planirana sredstva za rashode za zaposlene u iznosu od </w:t>
      </w:r>
      <w:r>
        <w:t>2.312.178</w:t>
      </w:r>
      <w:r w:rsidRPr="00F52063">
        <w:t xml:space="preserve"> eur </w:t>
      </w:r>
      <w:r w:rsidR="0019787F">
        <w:t xml:space="preserve">a u projekcijama za 2025.g. u iznosu 2.323.074 eur </w:t>
      </w:r>
      <w:r>
        <w:t xml:space="preserve">sukladno očekivanoj fluktuaciji zaposlenih </w:t>
      </w:r>
      <w:r w:rsidR="0019787F">
        <w:t>te u skladu sa zadanim limitima za izradu projekcija.</w:t>
      </w:r>
    </w:p>
    <w:p w:rsidR="002E4C98" w:rsidRPr="0019787F" w:rsidRDefault="0019787F" w:rsidP="0019787F">
      <w:pPr>
        <w:spacing w:after="0"/>
      </w:pPr>
      <w:r w:rsidRPr="0019787F">
        <w:lastRenderedPageBreak/>
        <w:t>U projekcijama za 2024. Planirani su m</w:t>
      </w:r>
      <w:r w:rsidR="002E4C98" w:rsidRPr="0019787F">
        <w:t xml:space="preserve">aterijalni i financijski rashodi  u iznosu od </w:t>
      </w:r>
      <w:r w:rsidR="0003676C">
        <w:rPr>
          <w:i/>
          <w:iCs/>
        </w:rPr>
        <w:t>675.744</w:t>
      </w:r>
      <w:r w:rsidR="002E4C98" w:rsidRPr="0019787F">
        <w:rPr>
          <w:i/>
          <w:iCs/>
        </w:rPr>
        <w:t xml:space="preserve"> </w:t>
      </w:r>
      <w:r w:rsidR="002E4C98" w:rsidRPr="0019787F">
        <w:t>eur</w:t>
      </w:r>
      <w:r w:rsidRPr="0019787F">
        <w:t xml:space="preserve">a a u projekcijama za 2025. U </w:t>
      </w:r>
      <w:r w:rsidR="00B04801">
        <w:t>izn</w:t>
      </w:r>
      <w:r w:rsidR="0003676C">
        <w:t>osu 670.581</w:t>
      </w:r>
      <w:r w:rsidRPr="0019787F">
        <w:t xml:space="preserve"> eura</w:t>
      </w:r>
      <w:r>
        <w:t>. Projekcije za materijalne i financijske rashode izrađene su na temelju očekivanih realnih potreba i zadanih smjernica za izradu projekcija.</w:t>
      </w:r>
    </w:p>
    <w:p w:rsidR="002E4C98" w:rsidRPr="008F6735" w:rsidRDefault="002E4C98" w:rsidP="0019787F">
      <w:pPr>
        <w:spacing w:after="0"/>
      </w:pPr>
      <w:r w:rsidRPr="008F6735">
        <w:t>Sredstva su namjenjena za pokriće troškova redovnog funkcioniranja a planirana su temelju stvarnih potreba i očekivanih makroekonomskih kretanja, okvirnog broja od 140 zatvorenika/pritvorenika.</w:t>
      </w:r>
    </w:p>
    <w:p w:rsidR="002E4C98" w:rsidRDefault="002E4C98" w:rsidP="002E4C98"/>
    <w:p w:rsidR="002E4C98" w:rsidRPr="0019787F" w:rsidRDefault="0019787F" w:rsidP="0019787F">
      <w:pPr>
        <w:spacing w:after="0"/>
        <w:rPr>
          <w:iCs/>
        </w:rPr>
      </w:pPr>
      <w:r>
        <w:t>U projekcijama  2024.g r</w:t>
      </w:r>
      <w:r w:rsidR="002E4C98" w:rsidRPr="00D26D23">
        <w:t xml:space="preserve">ashodi za nabavu nefinancijske imovine su planirani u iznosu </w:t>
      </w:r>
      <w:r w:rsidR="002E4C98" w:rsidRPr="008F6735">
        <w:t>od</w:t>
      </w:r>
      <w:r w:rsidR="002E4C98" w:rsidRPr="008F6735">
        <w:rPr>
          <w:i/>
          <w:iCs/>
        </w:rPr>
        <w:t xml:space="preserve"> </w:t>
      </w:r>
      <w:r>
        <w:rPr>
          <w:i/>
          <w:iCs/>
        </w:rPr>
        <w:t>6.636</w:t>
      </w:r>
      <w:r w:rsidR="002E4C98">
        <w:rPr>
          <w:i/>
          <w:iCs/>
        </w:rPr>
        <w:t xml:space="preserve"> </w:t>
      </w:r>
      <w:r w:rsidR="002E4C98" w:rsidRPr="008F6735">
        <w:rPr>
          <w:i/>
          <w:iCs/>
        </w:rPr>
        <w:t xml:space="preserve"> </w:t>
      </w:r>
      <w:r w:rsidR="002E4C98" w:rsidRPr="00D26D23">
        <w:t>eur</w:t>
      </w:r>
      <w:r>
        <w:t>a a u projekcijama za 2025.u iznosu 4.645 eura</w:t>
      </w:r>
      <w:r w:rsidR="002E4C98">
        <w:rPr>
          <w:i/>
          <w:iCs/>
          <w:color w:val="4472C4" w:themeColor="accent1"/>
        </w:rPr>
        <w:t>.</w:t>
      </w:r>
      <w:r>
        <w:rPr>
          <w:iCs/>
        </w:rPr>
        <w:t>Projekcije su izrađene na temelju zadanih limita a</w:t>
      </w:r>
    </w:p>
    <w:p w:rsidR="002E4C98" w:rsidRPr="002E4C98" w:rsidRDefault="0019787F" w:rsidP="0019787F">
      <w:pPr>
        <w:spacing w:after="0"/>
        <w:rPr>
          <w:iCs/>
        </w:rPr>
      </w:pPr>
      <w:r>
        <w:rPr>
          <w:iCs/>
        </w:rPr>
        <w:t>p</w:t>
      </w:r>
      <w:r w:rsidR="002E4C98" w:rsidRPr="002E4C98">
        <w:rPr>
          <w:iCs/>
        </w:rPr>
        <w:t>laniranim sredstvima je predviđena minimalna nabava uredskog namještaja (stolovi, stolice)</w:t>
      </w:r>
      <w:r>
        <w:rPr>
          <w:iCs/>
        </w:rPr>
        <w:t>.</w:t>
      </w:r>
    </w:p>
    <w:p w:rsidR="002E4C98" w:rsidRDefault="002E4C98" w:rsidP="002E50F6">
      <w:pPr>
        <w:rPr>
          <w:i/>
          <w:iCs/>
          <w:color w:val="4472C4" w:themeColor="accent1"/>
        </w:rPr>
      </w:pPr>
    </w:p>
    <w:p w:rsidR="00B95D6D" w:rsidRDefault="00B95D6D" w:rsidP="00BC5E29">
      <w:pPr>
        <w:pStyle w:val="Naslov4"/>
        <w:pBdr>
          <w:top w:val="none" w:sz="0" w:space="0" w:color="auto"/>
          <w:bottom w:val="none" w:sz="0" w:space="0" w:color="auto"/>
        </w:pBdr>
        <w:rPr>
          <w:sz w:val="24"/>
          <w:szCs w:val="24"/>
        </w:rPr>
      </w:pPr>
      <w:bookmarkStart w:id="4" w:name="_Hlk82697725"/>
      <w:bookmarkStart w:id="5" w:name="_Hlk82697677"/>
    </w:p>
    <w:p w:rsidR="002E50F6" w:rsidRPr="00BC5E29" w:rsidRDefault="002E50F6" w:rsidP="00BC5E29">
      <w:pPr>
        <w:pStyle w:val="Naslov4"/>
        <w:pBdr>
          <w:top w:val="none" w:sz="0" w:space="0" w:color="auto"/>
          <w:bottom w:val="none" w:sz="0" w:space="0" w:color="auto"/>
        </w:pBdr>
        <w:rPr>
          <w:sz w:val="24"/>
          <w:szCs w:val="24"/>
        </w:rPr>
      </w:pPr>
      <w:r w:rsidRPr="00BC5E29">
        <w:rPr>
          <w:sz w:val="24"/>
          <w:szCs w:val="24"/>
        </w:rPr>
        <w:t>A630113 IZVRŠAVANJE KAZNE ZATVORA, MJERE PRITVORA I ODGOJNE MJERE (IZ EVIDENCIJSKIH PRIHODA</w:t>
      </w:r>
      <w:bookmarkEnd w:id="4"/>
      <w:r w:rsidRPr="00BC5E29">
        <w:rPr>
          <w:sz w:val="24"/>
          <w:szCs w:val="24"/>
        </w:rPr>
        <w:t>)</w:t>
      </w:r>
    </w:p>
    <w:bookmarkEnd w:id="5"/>
    <w:p w:rsidR="002E50F6" w:rsidRDefault="002E50F6" w:rsidP="002E50F6"/>
    <w:tbl>
      <w:tblPr>
        <w:tblStyle w:val="StilTablice"/>
        <w:tblW w:w="8988" w:type="dxa"/>
        <w:jc w:val="center"/>
        <w:tblLook w:val="04A0" w:firstRow="1" w:lastRow="0" w:firstColumn="1" w:lastColumn="0" w:noHBand="0" w:noVBand="1"/>
      </w:tblPr>
      <w:tblGrid>
        <w:gridCol w:w="1255"/>
        <w:gridCol w:w="1339"/>
        <w:gridCol w:w="1356"/>
        <w:gridCol w:w="1356"/>
        <w:gridCol w:w="1356"/>
        <w:gridCol w:w="1356"/>
        <w:gridCol w:w="970"/>
      </w:tblGrid>
      <w:tr w:rsidR="00BC5E29" w:rsidTr="00DA0F97">
        <w:trPr>
          <w:cantSplit/>
          <w:trHeight w:val="55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Naziv aktivnosti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Izvršenje 20</w:t>
            </w:r>
            <w:r w:rsidR="00334C5F">
              <w:rPr>
                <w:rFonts w:cs="Times New Roman"/>
                <w:lang w:eastAsia="en-US"/>
              </w:rPr>
              <w:t>2</w:t>
            </w:r>
            <w:r w:rsidR="00274B1E">
              <w:rPr>
                <w:rFonts w:cs="Times New Roman"/>
                <w:lang w:eastAsia="en-US"/>
              </w:rPr>
              <w:t>1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</w:t>
            </w:r>
            <w:r w:rsidR="00274B1E">
              <w:rPr>
                <w:rFonts w:cs="Times New Roman"/>
                <w:lang w:eastAsia="en-US"/>
              </w:rPr>
              <w:t>2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</w:t>
            </w:r>
            <w:r w:rsidR="00274B1E">
              <w:rPr>
                <w:rFonts w:cs="Times New Roman"/>
                <w:lang w:eastAsia="en-US"/>
              </w:rPr>
              <w:t>3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</w:t>
            </w:r>
            <w:r w:rsidR="00274B1E">
              <w:rPr>
                <w:rFonts w:cs="Times New Roman"/>
                <w:lang w:eastAsia="en-US"/>
              </w:rPr>
              <w:t>4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</w:t>
            </w:r>
            <w:r w:rsidR="00274B1E">
              <w:rPr>
                <w:rFonts w:cs="Times New Roman"/>
                <w:lang w:eastAsia="en-US"/>
              </w:rPr>
              <w:t>5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Indeks 20</w:t>
            </w:r>
            <w:r w:rsidR="00274B1E">
              <w:rPr>
                <w:rFonts w:cs="Times New Roman"/>
                <w:lang w:eastAsia="en-US"/>
              </w:rPr>
              <w:t>23</w:t>
            </w:r>
            <w:r>
              <w:rPr>
                <w:rFonts w:cs="Times New Roman"/>
                <w:lang w:eastAsia="en-US"/>
              </w:rPr>
              <w:t>/202</w:t>
            </w:r>
            <w:r w:rsidR="00274B1E">
              <w:rPr>
                <w:rFonts w:cs="Times New Roman"/>
                <w:lang w:eastAsia="en-US"/>
              </w:rPr>
              <w:t>2</w:t>
            </w:r>
          </w:p>
        </w:tc>
      </w:tr>
      <w:tr w:rsidR="00334C5F" w:rsidTr="00DA0F97">
        <w:trPr>
          <w:cantSplit/>
          <w:trHeight w:val="68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2E50F6" w:rsidRDefault="002E50F6">
            <w:pPr>
              <w:pStyle w:val="CellColumn"/>
              <w:jc w:val="left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A630113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2E50F6" w:rsidRPr="0038255D" w:rsidRDefault="00F52063" w:rsidP="0038255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61.056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2E50F6" w:rsidRDefault="00F52063" w:rsidP="0038255D">
            <w:pPr>
              <w:jc w:val="center"/>
            </w:pPr>
            <w:r>
              <w:rPr>
                <w:color w:val="0070C0"/>
              </w:rPr>
              <w:t>99.889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2E50F6" w:rsidRDefault="00AE5D0B" w:rsidP="0038255D">
            <w:pPr>
              <w:jc w:val="center"/>
            </w:pPr>
            <w:r>
              <w:rPr>
                <w:color w:val="0070C0"/>
              </w:rPr>
              <w:t>118.616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2E50F6" w:rsidRDefault="00AE5D0B" w:rsidP="0038255D">
            <w:pPr>
              <w:jc w:val="center"/>
            </w:pPr>
            <w:r>
              <w:rPr>
                <w:color w:val="0070C0"/>
              </w:rPr>
              <w:t>120.778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34C5F" w:rsidRDefault="00AE5D0B" w:rsidP="0038255D">
            <w:pPr>
              <w:jc w:val="center"/>
            </w:pPr>
            <w:r>
              <w:rPr>
                <w:color w:val="0070C0"/>
              </w:rPr>
              <w:t>123.433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2E50F6" w:rsidRDefault="00F52063">
            <w:pPr>
              <w:jc w:val="right"/>
            </w:pPr>
            <w:r>
              <w:t>1,</w:t>
            </w:r>
            <w:r w:rsidR="00AE5D0B">
              <w:t>18</w:t>
            </w:r>
          </w:p>
        </w:tc>
      </w:tr>
    </w:tbl>
    <w:p w:rsidR="00DA0F97" w:rsidRDefault="00DA0F97" w:rsidP="002E50F6">
      <w:pPr>
        <w:jc w:val="left"/>
      </w:pPr>
    </w:p>
    <w:p w:rsidR="002E50F6" w:rsidRDefault="00DA0F97" w:rsidP="002E50F6">
      <w:pPr>
        <w:jc w:val="left"/>
      </w:pPr>
      <w:r>
        <w:t xml:space="preserve">Evidencijski prihodi </w:t>
      </w:r>
      <w:r w:rsidRPr="00DA0F97">
        <w:t>koriste se za podmirivanje materijalnih rashoda poslovanja i poboljšanje uvjeta života u Zatvorima i kaznionicama.</w:t>
      </w:r>
    </w:p>
    <w:p w:rsidR="0003676C" w:rsidRDefault="0003676C" w:rsidP="0003676C">
      <w:r>
        <w:t>Provođenje programa i projekata s organizacijama civilnog društva (udrugama) usmjerenih pružanju podrške provođenju pojedinačnih programa postupanja ili izvršavanja kazne zatvora financira se iz dijela prihoda od igara na sreću (lutrijska sredstva).</w:t>
      </w:r>
    </w:p>
    <w:p w:rsidR="0003676C" w:rsidRDefault="0003676C" w:rsidP="002E50F6">
      <w:pPr>
        <w:jc w:val="left"/>
      </w:pPr>
    </w:p>
    <w:p w:rsidR="00371C65" w:rsidRDefault="00B04801" w:rsidP="002E50F6">
      <w:pPr>
        <w:jc w:val="left"/>
      </w:pPr>
      <w:r>
        <w:t xml:space="preserve">U 2023. godini planirano je ostvarivanje prihoda iz izvora </w:t>
      </w:r>
    </w:p>
    <w:p w:rsidR="00B04801" w:rsidRDefault="00B04801" w:rsidP="002E50F6">
      <w:pPr>
        <w:jc w:val="left"/>
      </w:pPr>
      <w:r>
        <w:t>31 – vlastiti prihodi od prodaje prozvoda na tržištu, pružanja usluga fizičkog rada zatvorenika, usluga kopiranja, sprovođenja na trošak zatvorenika, prodaje ambalaže, ot</w:t>
      </w:r>
      <w:r w:rsidR="00AE5D0B">
        <w:t>pada, menze u iznosu 43.799</w:t>
      </w:r>
      <w:r>
        <w:t xml:space="preserve"> eur </w:t>
      </w:r>
      <w:r w:rsidR="00B90B95">
        <w:t>.</w:t>
      </w:r>
    </w:p>
    <w:p w:rsidR="00B90B95" w:rsidRDefault="00B90B95" w:rsidP="002E50F6">
      <w:pPr>
        <w:jc w:val="left"/>
      </w:pPr>
      <w:r>
        <w:t>Ostvarenim prihodima finacirali bi se materijalni rashodi nastali poslovanjem vlastite djelatnosti te redovne djelatnosti na temelju suglasnosti u iznosu 37.826 eura, zatim nabava dugotrajne imovine u iznosu 4.645 eura</w:t>
      </w:r>
      <w:r w:rsidR="00AE5D0B">
        <w:t xml:space="preserve"> te ugovori prema udrugama civilnog društva u iznosu 1328 eura</w:t>
      </w:r>
    </w:p>
    <w:p w:rsidR="00B90B95" w:rsidRDefault="00B90B95" w:rsidP="002E50F6">
      <w:pPr>
        <w:jc w:val="left"/>
      </w:pPr>
      <w:r>
        <w:t>52 – ostale pomoći – planirano je ostvarivanje prihoda s osnove poticaja u poljoprivrednoj proizvodnji u iznosu 39.817 eura.</w:t>
      </w:r>
    </w:p>
    <w:p w:rsidR="00AE5D0B" w:rsidRDefault="00B90B95" w:rsidP="002E50F6">
      <w:pPr>
        <w:jc w:val="left"/>
      </w:pPr>
      <w:r>
        <w:t>Ostvarenim prihodima financirali bi se materijalni rashodi nastali poslovanjem vlastite djelatnosti te redovne djelatnosti na temelju suglasnosti u iznosu 39.817 eura.</w:t>
      </w:r>
    </w:p>
    <w:p w:rsidR="00B90B95" w:rsidRDefault="00B90B95" w:rsidP="002E50F6">
      <w:pPr>
        <w:jc w:val="left"/>
      </w:pPr>
      <w:r>
        <w:t>U projekcijama za 2024. I 2025. Planirana je dinamika ostvarivanja prihoda</w:t>
      </w:r>
      <w:r w:rsidR="00AE5D0B">
        <w:t xml:space="preserve"> iz izvora 31 i 52 </w:t>
      </w:r>
      <w:r>
        <w:t xml:space="preserve"> </w:t>
      </w:r>
      <w:r w:rsidR="00AE5D0B">
        <w:t>te</w:t>
      </w:r>
      <w:r>
        <w:t xml:space="preserve"> financiranje rashoda kao u 2023. </w:t>
      </w:r>
      <w:r w:rsidR="0003676C">
        <w:t>g</w:t>
      </w:r>
      <w:r>
        <w:t>odini</w:t>
      </w:r>
    </w:p>
    <w:p w:rsidR="00AE5D0B" w:rsidRDefault="00AE5D0B" w:rsidP="002E50F6">
      <w:pPr>
        <w:jc w:val="left"/>
      </w:pPr>
      <w:r>
        <w:t xml:space="preserve">41 </w:t>
      </w:r>
      <w:r w:rsidR="00566939">
        <w:t>–</w:t>
      </w:r>
      <w:r>
        <w:t xml:space="preserve"> </w:t>
      </w:r>
      <w:r w:rsidR="00566939">
        <w:t>prihodi od igara na sreću namjenski je prihod čija se dinamika ostvarenja i trošenja planira sukladno dostavljenim planovima Ministarstva pravosuđa.</w:t>
      </w:r>
    </w:p>
    <w:p w:rsidR="00566939" w:rsidRDefault="00566939" w:rsidP="002E50F6">
      <w:pPr>
        <w:jc w:val="left"/>
      </w:pPr>
      <w:r>
        <w:t>U 2023.g. planira se ostvarenje prihoda na poziciji 61 u iznosu 35.000 eura. Plan rashoda na poziciji 3811 rashoda prema potpisanim ugovorima u iznosi 61.545 eura. Pokriće manjka prihoda nad rashodima planira se  iz prijenosa sredstava iz prethodne godine u iznosu 25.217 te iz izvora 31 u iznosu 1.328 eura.</w:t>
      </w:r>
    </w:p>
    <w:p w:rsidR="0003676C" w:rsidRDefault="0003676C" w:rsidP="002E50F6">
      <w:pPr>
        <w:jc w:val="left"/>
      </w:pPr>
    </w:p>
    <w:p w:rsidR="00566939" w:rsidRDefault="00566939" w:rsidP="002E50F6">
      <w:pPr>
        <w:jc w:val="left"/>
      </w:pPr>
      <w:r>
        <w:t>U projekcijama za 2024.g. planira se ostvarivanje prihoda u iznosu 37.162 eura.</w:t>
      </w:r>
    </w:p>
    <w:p w:rsidR="00566939" w:rsidRDefault="00566939" w:rsidP="002E50F6">
      <w:pPr>
        <w:jc w:val="left"/>
      </w:pPr>
      <w:r>
        <w:t xml:space="preserve">Plan rashoda na poziciji 3811 iznosi </w:t>
      </w:r>
      <w:r w:rsidR="001036BA">
        <w:t>47.780 eura. Pokriće manjka prihoda planirano je iz prijenosa sredstava iz prethodne godine u iznosu 9.290 eura te iz izvora 31 u iznosu 1.328 eura</w:t>
      </w:r>
    </w:p>
    <w:p w:rsidR="001036BA" w:rsidRDefault="001036BA" w:rsidP="002E50F6">
      <w:pPr>
        <w:jc w:val="left"/>
      </w:pPr>
      <w:r>
        <w:t>U projekcijama za 2025.g. planira se ostvarivanje prihoda u iznosu 39.817 eura.</w:t>
      </w:r>
    </w:p>
    <w:p w:rsidR="001036BA" w:rsidRDefault="001036BA" w:rsidP="002E50F6">
      <w:pPr>
        <w:jc w:val="left"/>
      </w:pPr>
      <w:r>
        <w:t>Plan rashoda na poziciji 3811 izn</w:t>
      </w:r>
      <w:r w:rsidR="0003676C">
        <w:t>osi 42.471 eur. Pokriće manjka p</w:t>
      </w:r>
      <w:r>
        <w:t>rihoda planirano je iz prijenosa sredstava iz prethodne godine u iznosu 1.327 eura te iz izvora 31 u iznosu 1.327 eura.</w:t>
      </w:r>
    </w:p>
    <w:p w:rsidR="002E617E" w:rsidRDefault="002E617E" w:rsidP="002E617E">
      <w:pPr>
        <w:spacing w:after="0"/>
      </w:pPr>
    </w:p>
    <w:p w:rsidR="00B90B95" w:rsidRDefault="00B90B95" w:rsidP="002E50F6">
      <w:pPr>
        <w:jc w:val="left"/>
      </w:pPr>
    </w:p>
    <w:sectPr w:rsidR="00B90B95" w:rsidSect="0036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2E1" w:rsidRDefault="005302E1" w:rsidP="00BC5E29">
      <w:pPr>
        <w:spacing w:after="0"/>
      </w:pPr>
      <w:r>
        <w:separator/>
      </w:r>
    </w:p>
  </w:endnote>
  <w:endnote w:type="continuationSeparator" w:id="0">
    <w:p w:rsidR="005302E1" w:rsidRDefault="005302E1" w:rsidP="00BC5E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2E1" w:rsidRDefault="005302E1" w:rsidP="00BC5E29">
      <w:pPr>
        <w:spacing w:after="0"/>
      </w:pPr>
      <w:r>
        <w:separator/>
      </w:r>
    </w:p>
  </w:footnote>
  <w:footnote w:type="continuationSeparator" w:id="0">
    <w:p w:rsidR="005302E1" w:rsidRDefault="005302E1" w:rsidP="00BC5E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5AC7"/>
    <w:multiLevelType w:val="hybridMultilevel"/>
    <w:tmpl w:val="55A861BE"/>
    <w:lvl w:ilvl="0" w:tplc="9CEA23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FBE"/>
    <w:multiLevelType w:val="hybridMultilevel"/>
    <w:tmpl w:val="56DA54E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306" w:hanging="360"/>
      </w:pPr>
    </w:lvl>
    <w:lvl w:ilvl="2" w:tplc="041A001B" w:tentative="1">
      <w:start w:val="1"/>
      <w:numFmt w:val="lowerRoman"/>
      <w:lvlText w:val="%3."/>
      <w:lvlJc w:val="right"/>
      <w:pPr>
        <w:ind w:left="1026" w:hanging="180"/>
      </w:pPr>
    </w:lvl>
    <w:lvl w:ilvl="3" w:tplc="041A000F" w:tentative="1">
      <w:start w:val="1"/>
      <w:numFmt w:val="decimal"/>
      <w:lvlText w:val="%4."/>
      <w:lvlJc w:val="left"/>
      <w:pPr>
        <w:ind w:left="1746" w:hanging="360"/>
      </w:pPr>
    </w:lvl>
    <w:lvl w:ilvl="4" w:tplc="041A0019" w:tentative="1">
      <w:start w:val="1"/>
      <w:numFmt w:val="lowerLetter"/>
      <w:lvlText w:val="%5."/>
      <w:lvlJc w:val="left"/>
      <w:pPr>
        <w:ind w:left="2466" w:hanging="360"/>
      </w:pPr>
    </w:lvl>
    <w:lvl w:ilvl="5" w:tplc="041A001B" w:tentative="1">
      <w:start w:val="1"/>
      <w:numFmt w:val="lowerRoman"/>
      <w:lvlText w:val="%6."/>
      <w:lvlJc w:val="right"/>
      <w:pPr>
        <w:ind w:left="3186" w:hanging="180"/>
      </w:pPr>
    </w:lvl>
    <w:lvl w:ilvl="6" w:tplc="041A000F" w:tentative="1">
      <w:start w:val="1"/>
      <w:numFmt w:val="decimal"/>
      <w:lvlText w:val="%7."/>
      <w:lvlJc w:val="left"/>
      <w:pPr>
        <w:ind w:left="3906" w:hanging="360"/>
      </w:pPr>
    </w:lvl>
    <w:lvl w:ilvl="7" w:tplc="041A0019" w:tentative="1">
      <w:start w:val="1"/>
      <w:numFmt w:val="lowerLetter"/>
      <w:lvlText w:val="%8."/>
      <w:lvlJc w:val="left"/>
      <w:pPr>
        <w:ind w:left="4626" w:hanging="360"/>
      </w:pPr>
    </w:lvl>
    <w:lvl w:ilvl="8" w:tplc="041A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F6"/>
    <w:rsid w:val="00025E1D"/>
    <w:rsid w:val="0003676C"/>
    <w:rsid w:val="00042365"/>
    <w:rsid w:val="000C3F58"/>
    <w:rsid w:val="000D0963"/>
    <w:rsid w:val="001036BA"/>
    <w:rsid w:val="00105393"/>
    <w:rsid w:val="001312EA"/>
    <w:rsid w:val="00143841"/>
    <w:rsid w:val="0019787F"/>
    <w:rsid w:val="00250C66"/>
    <w:rsid w:val="00274B1E"/>
    <w:rsid w:val="0027771F"/>
    <w:rsid w:val="002D2255"/>
    <w:rsid w:val="002E4C98"/>
    <w:rsid w:val="002E50F6"/>
    <w:rsid w:val="002E617E"/>
    <w:rsid w:val="0030514D"/>
    <w:rsid w:val="003226B1"/>
    <w:rsid w:val="0033354D"/>
    <w:rsid w:val="00334C5F"/>
    <w:rsid w:val="00362D82"/>
    <w:rsid w:val="00371C65"/>
    <w:rsid w:val="0038255D"/>
    <w:rsid w:val="00394E18"/>
    <w:rsid w:val="00515FDD"/>
    <w:rsid w:val="005302E1"/>
    <w:rsid w:val="005452E4"/>
    <w:rsid w:val="00566939"/>
    <w:rsid w:val="005A228B"/>
    <w:rsid w:val="005C05AB"/>
    <w:rsid w:val="005F305F"/>
    <w:rsid w:val="00605E25"/>
    <w:rsid w:val="00676BCA"/>
    <w:rsid w:val="006C25A2"/>
    <w:rsid w:val="006D24D0"/>
    <w:rsid w:val="00717DDD"/>
    <w:rsid w:val="007E52CE"/>
    <w:rsid w:val="008A49C6"/>
    <w:rsid w:val="008B7D09"/>
    <w:rsid w:val="008F6735"/>
    <w:rsid w:val="00984F3F"/>
    <w:rsid w:val="009A0FF6"/>
    <w:rsid w:val="009A3059"/>
    <w:rsid w:val="00A01A3B"/>
    <w:rsid w:val="00A53CD9"/>
    <w:rsid w:val="00A62157"/>
    <w:rsid w:val="00AE5D0B"/>
    <w:rsid w:val="00B04801"/>
    <w:rsid w:val="00B456A9"/>
    <w:rsid w:val="00B54F29"/>
    <w:rsid w:val="00B90B95"/>
    <w:rsid w:val="00B95D6D"/>
    <w:rsid w:val="00BC0E42"/>
    <w:rsid w:val="00BC5E29"/>
    <w:rsid w:val="00CC04B9"/>
    <w:rsid w:val="00CF592C"/>
    <w:rsid w:val="00D26D23"/>
    <w:rsid w:val="00D332F7"/>
    <w:rsid w:val="00D87F01"/>
    <w:rsid w:val="00D90315"/>
    <w:rsid w:val="00DA0F97"/>
    <w:rsid w:val="00DC469D"/>
    <w:rsid w:val="00E50C10"/>
    <w:rsid w:val="00EE6D28"/>
    <w:rsid w:val="00EF1DCE"/>
    <w:rsid w:val="00F20398"/>
    <w:rsid w:val="00F34E0B"/>
    <w:rsid w:val="00F52063"/>
    <w:rsid w:val="00F70E41"/>
    <w:rsid w:val="00F7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6D14C-3236-43A3-AF79-A8B27366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0F6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50F6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50F6"/>
    <w:pPr>
      <w:overflowPunct/>
      <w:autoSpaceDE/>
      <w:autoSpaceDN/>
      <w:adjustRightInd/>
      <w:spacing w:after="0"/>
      <w:jc w:val="left"/>
    </w:pPr>
    <w:rPr>
      <w:rFonts w:ascii="Segoe UI" w:eastAsiaTheme="minorHAnsi" w:hAnsi="Segoe UI" w:cs="Segoe UI"/>
      <w:sz w:val="18"/>
      <w:szCs w:val="18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0F6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semiHidden/>
    <w:rsid w:val="002E50F6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semiHidden/>
    <w:rsid w:val="002E50F6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2E50F6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50F6"/>
    <w:rPr>
      <w:rFonts w:ascii="Times New Roman" w:eastAsia="Times New Roman" w:hAnsi="Times New Roman" w:cs="Times New Roman"/>
      <w:b/>
      <w:szCs w:val="20"/>
      <w:lang w:val="sl-SI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50F6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50F6"/>
    <w:rPr>
      <w:rFonts w:ascii="Times New Roman" w:eastAsia="Times New Roman" w:hAnsi="Times New Roman" w:cs="Times New Roman"/>
      <w:sz w:val="20"/>
      <w:szCs w:val="20"/>
      <w:lang w:val="sl-SI"/>
    </w:rPr>
  </w:style>
  <w:style w:type="paragraph" w:customStyle="1" w:styleId="CellHeader">
    <w:name w:val="CellHeader"/>
    <w:basedOn w:val="Normal"/>
    <w:qFormat/>
    <w:rsid w:val="002E50F6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2E50F6"/>
  </w:style>
  <w:style w:type="character" w:styleId="Referencakomentara">
    <w:name w:val="annotation reference"/>
    <w:basedOn w:val="Zadanifontodlomka"/>
    <w:uiPriority w:val="99"/>
    <w:semiHidden/>
    <w:unhideWhenUsed/>
    <w:rsid w:val="002E50F6"/>
    <w:rPr>
      <w:sz w:val="16"/>
      <w:szCs w:val="16"/>
    </w:rPr>
  </w:style>
  <w:style w:type="table" w:customStyle="1" w:styleId="StilTablice">
    <w:name w:val="StilTablice"/>
    <w:basedOn w:val="Obinatablica"/>
    <w:uiPriority w:val="99"/>
    <w:rsid w:val="002E50F6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50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50F6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Zaglavlje">
    <w:name w:val="header"/>
    <w:basedOn w:val="Normal"/>
    <w:link w:val="ZaglavljeChar"/>
    <w:uiPriority w:val="99"/>
    <w:unhideWhenUsed/>
    <w:rsid w:val="00BC5E2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C5E29"/>
    <w:rPr>
      <w:rFonts w:ascii="Times New Roman" w:eastAsia="Times New Roman" w:hAnsi="Times New Roman" w:cs="Times New Roman"/>
      <w:szCs w:val="20"/>
      <w:lang w:val="sl-SI"/>
    </w:rPr>
  </w:style>
  <w:style w:type="paragraph" w:styleId="Podnoje">
    <w:name w:val="footer"/>
    <w:basedOn w:val="Normal"/>
    <w:link w:val="PodnojeChar"/>
    <w:uiPriority w:val="99"/>
    <w:unhideWhenUsed/>
    <w:rsid w:val="00BC5E2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C5E29"/>
    <w:rPr>
      <w:rFonts w:ascii="Times New Roman" w:eastAsia="Times New Roman" w:hAnsi="Times New Roman" w:cs="Times New Roman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1312EA"/>
    <w:pPr>
      <w:overflowPunct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ACB4-EE3D-40CF-8778-21A0C9CC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Čvorig</dc:creator>
  <cp:lastModifiedBy>Marija Grbin Živković</cp:lastModifiedBy>
  <cp:revision>2</cp:revision>
  <cp:lastPrinted>2022-12-29T14:22:00Z</cp:lastPrinted>
  <dcterms:created xsi:type="dcterms:W3CDTF">2023-02-24T15:07:00Z</dcterms:created>
  <dcterms:modified xsi:type="dcterms:W3CDTF">2023-02-24T15:07:00Z</dcterms:modified>
</cp:coreProperties>
</file>